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BB" w:rsidRPr="003B35BB" w:rsidRDefault="003B35BB" w:rsidP="003B35BB">
      <w:pPr>
        <w:shd w:val="clear" w:color="auto" w:fill="FFFFFF"/>
        <w:spacing w:before="45" w:after="150" w:line="240" w:lineRule="auto"/>
        <w:outlineLvl w:val="0"/>
        <w:rPr>
          <w:rFonts w:ascii="Georgia" w:eastAsia="Times New Roman" w:hAnsi="Georgia" w:cs="Times New Roman"/>
          <w:color w:val="B31B1B"/>
          <w:kern w:val="36"/>
          <w:sz w:val="36"/>
          <w:szCs w:val="36"/>
        </w:rPr>
      </w:pPr>
      <w:r w:rsidRPr="003B35BB">
        <w:rPr>
          <w:rFonts w:ascii="Georgia" w:eastAsia="Times New Roman" w:hAnsi="Georgia" w:cs="Times New Roman"/>
          <w:color w:val="B31B1B"/>
          <w:kern w:val="36"/>
          <w:sz w:val="36"/>
          <w:szCs w:val="36"/>
        </w:rPr>
        <w:t>34 CFR 200.89 - MEP allocations; Re-interviewing; Eligibility documentation; and Quality control.</w:t>
      </w:r>
    </w:p>
    <w:p w:rsidR="003B35BB" w:rsidRPr="003B35BB" w:rsidRDefault="003B35BB" w:rsidP="003B35BB">
      <w:pPr>
        <w:shd w:val="clear" w:color="auto" w:fill="FFFFFF"/>
        <w:spacing w:after="0" w:line="315" w:lineRule="atLeast"/>
        <w:rPr>
          <w:rFonts w:ascii="Times New Roman" w:eastAsia="Times New Roman" w:hAnsi="Times New Roman" w:cs="Times New Roman"/>
          <w:sz w:val="24"/>
          <w:szCs w:val="24"/>
        </w:rPr>
      </w:pPr>
      <w:bookmarkStart w:id="0" w:name="_GoBack"/>
      <w:bookmarkEnd w:id="0"/>
      <w:r w:rsidRPr="003B35BB">
        <w:rPr>
          <w:rFonts w:ascii="Verdana" w:eastAsia="Times New Roman" w:hAnsi="Verdana" w:cs="Times New Roman"/>
          <w:color w:val="333333"/>
          <w:sz w:val="21"/>
          <w:szCs w:val="21"/>
        </w:rPr>
        <w:t>§ 200.89 MEP allocations; Re-interviewing; Eligibility documentation; and Quality control.</w:t>
      </w:r>
    </w:p>
    <w:p w:rsidR="003B35BB" w:rsidRPr="003B35BB" w:rsidRDefault="003B35BB" w:rsidP="003B35BB">
      <w:pPr>
        <w:shd w:val="clear" w:color="auto" w:fill="FFFFFF"/>
        <w:spacing w:after="0" w:line="315" w:lineRule="atLeast"/>
        <w:rPr>
          <w:rFonts w:ascii="Times New Roman" w:eastAsia="Times New Roman" w:hAnsi="Times New Roman" w:cs="Times New Roman"/>
          <w:sz w:val="24"/>
          <w:szCs w:val="24"/>
        </w:rPr>
      </w:pPr>
      <w:bookmarkStart w:id="1" w:name="a"/>
      <w:bookmarkEnd w:id="1"/>
      <w:r w:rsidRPr="003B35BB">
        <w:rPr>
          <w:rFonts w:ascii="Verdana" w:eastAsia="Times New Roman" w:hAnsi="Verdana" w:cs="Times New Roman"/>
          <w:b/>
          <w:bCs/>
          <w:color w:val="333333"/>
          <w:sz w:val="21"/>
          <w:szCs w:val="21"/>
        </w:rPr>
        <w:t>(a)</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Allocation of funds under the MEP for fiscal year (FY) 2006 and subsequent years.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 w:name="a_1"/>
      <w:bookmarkEnd w:id="2"/>
      <w:r w:rsidRPr="003B35BB">
        <w:rPr>
          <w:rFonts w:ascii="Verdana" w:eastAsia="Times New Roman" w:hAnsi="Verdana" w:cs="Times New Roman"/>
          <w:b/>
          <w:bCs/>
          <w:color w:val="333333"/>
          <w:sz w:val="21"/>
          <w:szCs w:val="21"/>
        </w:rPr>
        <w:t>(1)</w:t>
      </w:r>
      <w:r w:rsidRPr="003B35BB">
        <w:rPr>
          <w:rFonts w:ascii="Verdana" w:eastAsia="Times New Roman" w:hAnsi="Verdana" w:cs="Times New Roman"/>
          <w:color w:val="333333"/>
          <w:sz w:val="21"/>
          <w:szCs w:val="21"/>
        </w:rPr>
        <w:t> For purposes of calculating the size of MEP allocations for each SEA for FY 2006 and subsequent years (as well as for supplemental MEP allocations for FY 2005), the Secretary determines each SEA's FY 2002 base allocation amount undersection 1303(a)(2) and (b) of the Act by applying, to the counts of eligible migratory children that the SEA submitted for 2000-2001, the defect rate that the SEA reports to the Secretary and that the Secretary accepts based on a statewide retrospective re-interviewing process that the SEA has conducted.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 w:name="a_2"/>
      <w:bookmarkEnd w:id="3"/>
      <w:r w:rsidRPr="003B35BB">
        <w:rPr>
          <w:rFonts w:ascii="Verdana" w:eastAsia="Times New Roman" w:hAnsi="Verdana" w:cs="Times New Roman"/>
          <w:b/>
          <w:bCs/>
          <w:color w:val="333333"/>
          <w:sz w:val="21"/>
          <w:szCs w:val="21"/>
        </w:rPr>
        <w:t>(2)</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4" w:name="a_2_i"/>
      <w:bookmarkEnd w:id="4"/>
      <w:r w:rsidRPr="003B35BB">
        <w:rPr>
          <w:rFonts w:ascii="Verdana" w:eastAsia="Times New Roman" w:hAnsi="Verdana" w:cs="Times New Roman"/>
          <w:b/>
          <w:bCs/>
          <w:color w:val="333333"/>
          <w:sz w:val="21"/>
          <w:szCs w:val="21"/>
        </w:rPr>
        <w:t>(i)</w:t>
      </w:r>
      <w:r w:rsidRPr="003B35BB">
        <w:rPr>
          <w:rFonts w:ascii="Verdana" w:eastAsia="Times New Roman" w:hAnsi="Verdana" w:cs="Times New Roman"/>
          <w:color w:val="333333"/>
          <w:sz w:val="21"/>
          <w:szCs w:val="21"/>
        </w:rPr>
        <w:t> The Secretary conditions an SEA's receipt of final FY 2007 and subsequent-year MEP awards on the SEA's completion of a thorough re-documentation of the eligibility of all children (and the removal of all ineligible children) included in the State's 2007-2008 MEP child counts.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5" w:name="a_2_ii"/>
      <w:bookmarkEnd w:id="5"/>
      <w:r w:rsidRPr="003B35BB">
        <w:rPr>
          <w:rFonts w:ascii="Verdana" w:eastAsia="Times New Roman" w:hAnsi="Verdana" w:cs="Times New Roman"/>
          <w:b/>
          <w:bCs/>
          <w:color w:val="333333"/>
          <w:sz w:val="21"/>
          <w:szCs w:val="21"/>
        </w:rPr>
        <w:t>(ii)</w:t>
      </w:r>
      <w:r w:rsidRPr="003B35BB">
        <w:rPr>
          <w:rFonts w:ascii="Verdana" w:eastAsia="Times New Roman" w:hAnsi="Verdana" w:cs="Times New Roman"/>
          <w:color w:val="333333"/>
          <w:sz w:val="21"/>
          <w:szCs w:val="21"/>
        </w:rPr>
        <w:t> To carry out this re-documentation, an SEA must examine its rolls of all currently identified migratory children and remove from the rolls all children it judges to be ineligible based on the types of problems identified in its statewide retrospective re-interviewing as causing defective eligibility determinations.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6" w:name="b"/>
      <w:bookmarkEnd w:id="6"/>
      <w:r w:rsidRPr="003B35BB">
        <w:rPr>
          <w:rFonts w:ascii="Verdana" w:eastAsia="Times New Roman" w:hAnsi="Verdana" w:cs="Times New Roman"/>
          <w:b/>
          <w:bCs/>
          <w:color w:val="333333"/>
          <w:sz w:val="21"/>
          <w:szCs w:val="21"/>
        </w:rPr>
        <w:t>(b)</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Responsibilities of SEAs for re-interviewing to ensure the eligibility of children under the MEP</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7" w:name="b_1"/>
      <w:bookmarkEnd w:id="7"/>
      <w:r w:rsidRPr="003B35BB">
        <w:rPr>
          <w:rFonts w:ascii="Verdana" w:eastAsia="Times New Roman" w:hAnsi="Verdana" w:cs="Times New Roman"/>
          <w:b/>
          <w:bCs/>
          <w:color w:val="333333"/>
          <w:sz w:val="21"/>
          <w:szCs w:val="21"/>
        </w:rPr>
        <w:t>(1)</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Retrospective re-interviewing.</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8" w:name="b_1_i"/>
      <w:bookmarkEnd w:id="8"/>
      <w:r w:rsidRPr="003B35BB">
        <w:rPr>
          <w:rFonts w:ascii="Verdana" w:eastAsia="Times New Roman" w:hAnsi="Verdana" w:cs="Times New Roman"/>
          <w:b/>
          <w:bCs/>
          <w:color w:val="333333"/>
          <w:sz w:val="21"/>
          <w:szCs w:val="21"/>
        </w:rPr>
        <w:t>(i)</w:t>
      </w:r>
      <w:r w:rsidRPr="003B35BB">
        <w:rPr>
          <w:rFonts w:ascii="Verdana" w:eastAsia="Times New Roman" w:hAnsi="Verdana" w:cs="Times New Roman"/>
          <w:color w:val="333333"/>
          <w:sz w:val="21"/>
          <w:szCs w:val="21"/>
        </w:rPr>
        <w:t> As a condition for the continued receipt of MEP funds in FY 2006 and subsequent years, an SEA that received such funds in FY 2005 but did not implement a statewide re-interviewing process prior to the enactment of this regulation, as well as an SEA with a defect rate that is not accepted by the Secretary under paragraph (a)(1) of this section, or an SEA under a corrective action issued by the Secretary under paragraph (b)(2)(vii) or (d)(7) of this section, must, within six months of the effective date of these regulations or as subsequently required by the Secretary,—</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9" w:name="b_1_i_A"/>
      <w:bookmarkEnd w:id="9"/>
      <w:r w:rsidRPr="003B35BB">
        <w:rPr>
          <w:rFonts w:ascii="Verdana" w:eastAsia="Times New Roman" w:hAnsi="Verdana" w:cs="Times New Roman"/>
          <w:b/>
          <w:bCs/>
          <w:color w:val="333333"/>
          <w:sz w:val="21"/>
          <w:szCs w:val="21"/>
        </w:rPr>
        <w:t>(A)</w:t>
      </w:r>
      <w:r w:rsidRPr="003B35BB">
        <w:rPr>
          <w:rFonts w:ascii="Verdana" w:eastAsia="Times New Roman" w:hAnsi="Verdana" w:cs="Times New Roman"/>
          <w:color w:val="333333"/>
          <w:sz w:val="21"/>
          <w:szCs w:val="21"/>
        </w:rPr>
        <w:t> Conduct a statewide re-interviewing process consistent with paragraph (b)(1)(ii) of this section; and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0" w:name="b_1_i_B"/>
      <w:bookmarkEnd w:id="10"/>
      <w:r w:rsidRPr="003B35BB">
        <w:rPr>
          <w:rFonts w:ascii="Verdana" w:eastAsia="Times New Roman" w:hAnsi="Verdana" w:cs="Times New Roman"/>
          <w:b/>
          <w:bCs/>
          <w:color w:val="333333"/>
          <w:sz w:val="21"/>
          <w:szCs w:val="21"/>
        </w:rPr>
        <w:t>(B)</w:t>
      </w:r>
      <w:r w:rsidRPr="003B35BB">
        <w:rPr>
          <w:rFonts w:ascii="Verdana" w:eastAsia="Times New Roman" w:hAnsi="Verdana" w:cs="Times New Roman"/>
          <w:color w:val="333333"/>
          <w:sz w:val="21"/>
          <w:szCs w:val="21"/>
        </w:rPr>
        <w:t> Consistent with paragraph (b)(1)(iii) of this section, report to the Secretary on the procedures it has employed, its findings, its defect rate, and corrective actions it has taken or will take to avoid a recurrence of any problems found.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1" w:name="b_1_ii"/>
      <w:bookmarkEnd w:id="11"/>
      <w:r w:rsidRPr="003B35BB">
        <w:rPr>
          <w:rFonts w:ascii="Verdana" w:eastAsia="Times New Roman" w:hAnsi="Verdana" w:cs="Times New Roman"/>
          <w:b/>
          <w:bCs/>
          <w:color w:val="333333"/>
          <w:sz w:val="21"/>
          <w:szCs w:val="21"/>
        </w:rPr>
        <w:t>(ii)</w:t>
      </w:r>
      <w:r w:rsidRPr="003B35BB">
        <w:rPr>
          <w:rFonts w:ascii="Verdana" w:eastAsia="Times New Roman" w:hAnsi="Verdana" w:cs="Times New Roman"/>
          <w:color w:val="333333"/>
          <w:sz w:val="21"/>
          <w:szCs w:val="21"/>
        </w:rPr>
        <w:t> At a minimum, the re-interviewing process must include—</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2" w:name="b_1_ii_A"/>
      <w:bookmarkEnd w:id="12"/>
      <w:r w:rsidRPr="003B35BB">
        <w:rPr>
          <w:rFonts w:ascii="Verdana" w:eastAsia="Times New Roman" w:hAnsi="Verdana" w:cs="Times New Roman"/>
          <w:b/>
          <w:bCs/>
          <w:color w:val="333333"/>
          <w:sz w:val="21"/>
          <w:szCs w:val="21"/>
        </w:rPr>
        <w:lastRenderedPageBreak/>
        <w:t>(A)</w:t>
      </w:r>
      <w:r w:rsidRPr="003B35BB">
        <w:rPr>
          <w:rFonts w:ascii="Verdana" w:eastAsia="Times New Roman" w:hAnsi="Verdana" w:cs="Times New Roman"/>
          <w:color w:val="333333"/>
          <w:sz w:val="21"/>
          <w:szCs w:val="21"/>
        </w:rPr>
        <w:t> Selection of a sample of identified migratory children (from the child counts of a particular year as directed by the Secretary) randomly selected on a statewide basis to allow the State to estimate the statewide proportion of eligible migratory children at a 95 percent confidence level with a confidence interval of plus or minus 5 percent.</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3" w:name="b_1_ii_B"/>
      <w:bookmarkEnd w:id="13"/>
      <w:r w:rsidRPr="003B35BB">
        <w:rPr>
          <w:rFonts w:ascii="Verdana" w:eastAsia="Times New Roman" w:hAnsi="Verdana" w:cs="Times New Roman"/>
          <w:b/>
          <w:bCs/>
          <w:color w:val="333333"/>
          <w:sz w:val="21"/>
          <w:szCs w:val="21"/>
        </w:rPr>
        <w:t>(B)</w:t>
      </w:r>
      <w:r w:rsidRPr="003B35BB">
        <w:rPr>
          <w:rFonts w:ascii="Verdana" w:eastAsia="Times New Roman" w:hAnsi="Verdana" w:cs="Times New Roman"/>
          <w:color w:val="333333"/>
          <w:sz w:val="21"/>
          <w:szCs w:val="21"/>
        </w:rPr>
        <w:t> Use of independent re-interviewers (i.e., interviewers who are neither SEA or local operating agency staff members working to administer or operate the State MEP nor any other persons who worked on the initial eligibility determinations being tested) trained to conduct personal interviews and to understand and apply program eligibility requirements; and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4" w:name="b_1_ii_C"/>
      <w:bookmarkEnd w:id="14"/>
      <w:r w:rsidRPr="003B35BB">
        <w:rPr>
          <w:rFonts w:ascii="Verdana" w:eastAsia="Times New Roman" w:hAnsi="Verdana" w:cs="Times New Roman"/>
          <w:b/>
          <w:bCs/>
          <w:color w:val="333333"/>
          <w:sz w:val="21"/>
          <w:szCs w:val="21"/>
        </w:rPr>
        <w:t>(C)</w:t>
      </w:r>
      <w:r w:rsidRPr="003B35BB">
        <w:rPr>
          <w:rFonts w:ascii="Verdana" w:eastAsia="Times New Roman" w:hAnsi="Verdana" w:cs="Times New Roman"/>
          <w:color w:val="333333"/>
          <w:sz w:val="21"/>
          <w:szCs w:val="21"/>
        </w:rPr>
        <w:t> Calculation of a defect rate based on the number of sampled children determined ineligible as a percentage of those sampled children whose parent/guardian was actually re-interviewed.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5" w:name="b_1_iii"/>
      <w:bookmarkEnd w:id="15"/>
      <w:r w:rsidRPr="003B35BB">
        <w:rPr>
          <w:rFonts w:ascii="Verdana" w:eastAsia="Times New Roman" w:hAnsi="Verdana" w:cs="Times New Roman"/>
          <w:b/>
          <w:bCs/>
          <w:color w:val="333333"/>
          <w:sz w:val="21"/>
          <w:szCs w:val="21"/>
        </w:rPr>
        <w:t>(iii)</w:t>
      </w:r>
      <w:r w:rsidRPr="003B35BB">
        <w:rPr>
          <w:rFonts w:ascii="Verdana" w:eastAsia="Times New Roman" w:hAnsi="Verdana" w:cs="Times New Roman"/>
          <w:color w:val="333333"/>
          <w:sz w:val="21"/>
          <w:szCs w:val="21"/>
        </w:rPr>
        <w:t> At a minimum, the report must include—</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6" w:name="b_1_iii_A"/>
      <w:bookmarkEnd w:id="16"/>
      <w:r w:rsidRPr="003B35BB">
        <w:rPr>
          <w:rFonts w:ascii="Verdana" w:eastAsia="Times New Roman" w:hAnsi="Verdana" w:cs="Times New Roman"/>
          <w:b/>
          <w:bCs/>
          <w:color w:val="333333"/>
          <w:sz w:val="21"/>
          <w:szCs w:val="21"/>
        </w:rPr>
        <w:t>(A)</w:t>
      </w:r>
      <w:r w:rsidRPr="003B35BB">
        <w:rPr>
          <w:rFonts w:ascii="Verdana" w:eastAsia="Times New Roman" w:hAnsi="Verdana" w:cs="Times New Roman"/>
          <w:color w:val="333333"/>
          <w:sz w:val="21"/>
          <w:szCs w:val="21"/>
        </w:rPr>
        <w:t> An explanation of the sample and procedures used in the SEA's re-interviewing process;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7" w:name="b_1_iii_B"/>
      <w:bookmarkEnd w:id="17"/>
      <w:r w:rsidRPr="003B35BB">
        <w:rPr>
          <w:rFonts w:ascii="Verdana" w:eastAsia="Times New Roman" w:hAnsi="Verdana" w:cs="Times New Roman"/>
          <w:b/>
          <w:bCs/>
          <w:color w:val="333333"/>
          <w:sz w:val="21"/>
          <w:szCs w:val="21"/>
        </w:rPr>
        <w:t>(B)</w:t>
      </w:r>
      <w:r w:rsidRPr="003B35BB">
        <w:rPr>
          <w:rFonts w:ascii="Verdana" w:eastAsia="Times New Roman" w:hAnsi="Verdana" w:cs="Times New Roman"/>
          <w:color w:val="333333"/>
          <w:sz w:val="21"/>
          <w:szCs w:val="21"/>
        </w:rPr>
        <w:t> The findings of the re-interviewing process, including the determined defect rate;</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8" w:name="b_1_iii_C"/>
      <w:bookmarkEnd w:id="18"/>
      <w:r w:rsidRPr="003B35BB">
        <w:rPr>
          <w:rFonts w:ascii="Verdana" w:eastAsia="Times New Roman" w:hAnsi="Verdana" w:cs="Times New Roman"/>
          <w:b/>
          <w:bCs/>
          <w:color w:val="333333"/>
          <w:sz w:val="21"/>
          <w:szCs w:val="21"/>
        </w:rPr>
        <w:t>(C)</w:t>
      </w:r>
      <w:r w:rsidRPr="003B35BB">
        <w:rPr>
          <w:rFonts w:ascii="Verdana" w:eastAsia="Times New Roman" w:hAnsi="Verdana" w:cs="Times New Roman"/>
          <w:color w:val="333333"/>
          <w:sz w:val="21"/>
          <w:szCs w:val="21"/>
        </w:rPr>
        <w:t> An acknowledgement that, consistent with§ </w:t>
      </w:r>
      <w:hyperlink r:id="rId7" w:anchor="a" w:tooltip="200.89(a)" w:history="1">
        <w:r w:rsidRPr="003B35BB">
          <w:rPr>
            <w:rFonts w:ascii="Verdana" w:eastAsia="Times New Roman" w:hAnsi="Verdana" w:cs="Times New Roman"/>
            <w:color w:val="005C72"/>
            <w:sz w:val="21"/>
            <w:szCs w:val="21"/>
            <w:u w:val="single"/>
          </w:rPr>
          <w:t>200.89(a)</w:t>
        </w:r>
      </w:hyperlink>
      <w:r w:rsidRPr="003B35BB">
        <w:rPr>
          <w:rFonts w:ascii="Verdana" w:eastAsia="Times New Roman" w:hAnsi="Verdana" w:cs="Times New Roman"/>
          <w:color w:val="333333"/>
          <w:sz w:val="21"/>
          <w:szCs w:val="21"/>
        </w:rPr>
        <w:t>, the Secretary may adjust the child counts for 2000-2001 and subsequent years downward based on the defect rate that the Secretary accepts;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19" w:name="b_1_iii_D"/>
      <w:bookmarkEnd w:id="19"/>
      <w:r w:rsidRPr="003B35BB">
        <w:rPr>
          <w:rFonts w:ascii="Verdana" w:eastAsia="Times New Roman" w:hAnsi="Verdana" w:cs="Times New Roman"/>
          <w:b/>
          <w:bCs/>
          <w:color w:val="333333"/>
          <w:sz w:val="21"/>
          <w:szCs w:val="21"/>
        </w:rPr>
        <w:t>(D)</w:t>
      </w:r>
      <w:r w:rsidRPr="003B35BB">
        <w:rPr>
          <w:rFonts w:ascii="Verdana" w:eastAsia="Times New Roman" w:hAnsi="Verdana" w:cs="Times New Roman"/>
          <w:color w:val="333333"/>
          <w:sz w:val="21"/>
          <w:szCs w:val="21"/>
        </w:rPr>
        <w:t> A summary of the types of defective eligibility determinations that the SEA identified through the re-interviewing process;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0" w:name="b_1_iii_E"/>
      <w:bookmarkEnd w:id="20"/>
      <w:r w:rsidRPr="003B35BB">
        <w:rPr>
          <w:rFonts w:ascii="Verdana" w:eastAsia="Times New Roman" w:hAnsi="Verdana" w:cs="Times New Roman"/>
          <w:b/>
          <w:bCs/>
          <w:color w:val="333333"/>
          <w:sz w:val="21"/>
          <w:szCs w:val="21"/>
        </w:rPr>
        <w:t>(E)</w:t>
      </w:r>
      <w:r w:rsidRPr="003B35BB">
        <w:rPr>
          <w:rFonts w:ascii="Verdana" w:eastAsia="Times New Roman" w:hAnsi="Verdana" w:cs="Times New Roman"/>
          <w:color w:val="333333"/>
          <w:sz w:val="21"/>
          <w:szCs w:val="21"/>
        </w:rPr>
        <w:t> A summary of the reasons why each type of defective eligibility determination occurred; and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1" w:name="b_1_iii_F"/>
      <w:bookmarkEnd w:id="21"/>
      <w:r w:rsidRPr="003B35BB">
        <w:rPr>
          <w:rFonts w:ascii="Verdana" w:eastAsia="Times New Roman" w:hAnsi="Verdana" w:cs="Times New Roman"/>
          <w:b/>
          <w:bCs/>
          <w:color w:val="333333"/>
          <w:sz w:val="21"/>
          <w:szCs w:val="21"/>
        </w:rPr>
        <w:t>(F)</w:t>
      </w:r>
      <w:r w:rsidRPr="003B35BB">
        <w:rPr>
          <w:rFonts w:ascii="Verdana" w:eastAsia="Times New Roman" w:hAnsi="Verdana" w:cs="Times New Roman"/>
          <w:color w:val="333333"/>
          <w:sz w:val="21"/>
          <w:szCs w:val="21"/>
        </w:rPr>
        <w:t> A summary of the corrective actions the SEA will take to address the identified problems.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2" w:name="b_2"/>
      <w:bookmarkEnd w:id="22"/>
      <w:r w:rsidRPr="003B35BB">
        <w:rPr>
          <w:rFonts w:ascii="Verdana" w:eastAsia="Times New Roman" w:hAnsi="Verdana" w:cs="Times New Roman"/>
          <w:b/>
          <w:bCs/>
          <w:color w:val="333333"/>
          <w:sz w:val="21"/>
          <w:szCs w:val="21"/>
        </w:rPr>
        <w:t>(2)</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Prospective re-interviewing.</w:t>
      </w:r>
      <w:r w:rsidRPr="003B35BB">
        <w:rPr>
          <w:rFonts w:ascii="Verdana" w:eastAsia="Times New Roman" w:hAnsi="Verdana" w:cs="Times New Roman"/>
          <w:b/>
          <w:bCs/>
          <w:color w:val="333333"/>
          <w:sz w:val="21"/>
          <w:szCs w:val="21"/>
        </w:rPr>
        <w:t> </w:t>
      </w:r>
      <w:r w:rsidRPr="003B35BB">
        <w:rPr>
          <w:rFonts w:ascii="Verdana" w:eastAsia="Times New Roman" w:hAnsi="Verdana" w:cs="Times New Roman"/>
          <w:color w:val="333333"/>
          <w:sz w:val="21"/>
          <w:szCs w:val="21"/>
        </w:rPr>
        <w:t>As part of the system of quality controls identified in § </w:t>
      </w:r>
      <w:hyperlink r:id="rId8" w:anchor="d" w:tooltip="200.89(d)" w:history="1">
        <w:r w:rsidRPr="003B35BB">
          <w:rPr>
            <w:rFonts w:ascii="Verdana" w:eastAsia="Times New Roman" w:hAnsi="Verdana" w:cs="Times New Roman"/>
            <w:color w:val="005C72"/>
            <w:sz w:val="21"/>
            <w:szCs w:val="21"/>
            <w:u w:val="single"/>
          </w:rPr>
          <w:t>200.89(d)</w:t>
        </w:r>
      </w:hyperlink>
      <w:r w:rsidRPr="003B35BB">
        <w:rPr>
          <w:rFonts w:ascii="Verdana" w:eastAsia="Times New Roman" w:hAnsi="Verdana" w:cs="Times New Roman"/>
          <w:color w:val="333333"/>
          <w:sz w:val="21"/>
          <w:szCs w:val="21"/>
        </w:rPr>
        <w:t>, an SEA that receives MEP funds must, on an annual basis, validate current-year child eligibility determinations through the re-interview of a randomly selected sample of children previously identified as migratory. In conducting these re-interviews, an SEA must—</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3" w:name="b_2_i"/>
      <w:bookmarkEnd w:id="23"/>
      <w:r w:rsidRPr="003B35BB">
        <w:rPr>
          <w:rFonts w:ascii="Verdana" w:eastAsia="Times New Roman" w:hAnsi="Verdana" w:cs="Times New Roman"/>
          <w:b/>
          <w:bCs/>
          <w:color w:val="333333"/>
          <w:sz w:val="21"/>
          <w:szCs w:val="21"/>
        </w:rPr>
        <w:t>(i)</w:t>
      </w:r>
      <w:r w:rsidRPr="003B35BB">
        <w:rPr>
          <w:rFonts w:ascii="Verdana" w:eastAsia="Times New Roman" w:hAnsi="Verdana" w:cs="Times New Roman"/>
          <w:color w:val="333333"/>
          <w:sz w:val="21"/>
          <w:szCs w:val="21"/>
        </w:rPr>
        <w:t> Use, at least once every three years, one or more independent interviewers (i.e., interviewers who are neither SEA or local operating agency staff members working to administer or operate the State MEP nor any other persons who worked on the initial eligibility determinations being tested) trained to conduct personal interviews and to understand and apply program eligibility requirements;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4" w:name="b_2_ii"/>
      <w:bookmarkEnd w:id="24"/>
      <w:r w:rsidRPr="003B35BB">
        <w:rPr>
          <w:rFonts w:ascii="Verdana" w:eastAsia="Times New Roman" w:hAnsi="Verdana" w:cs="Times New Roman"/>
          <w:b/>
          <w:bCs/>
          <w:color w:val="333333"/>
          <w:sz w:val="21"/>
          <w:szCs w:val="21"/>
        </w:rPr>
        <w:t>(ii)</w:t>
      </w:r>
      <w:r w:rsidRPr="003B35BB">
        <w:rPr>
          <w:rFonts w:ascii="Verdana" w:eastAsia="Times New Roman" w:hAnsi="Verdana" w:cs="Times New Roman"/>
          <w:color w:val="333333"/>
          <w:sz w:val="21"/>
          <w:szCs w:val="21"/>
        </w:rPr>
        <w:t> Select a random sample of identified migratory children so that a sufficient number of eligibility determinations in the current year are tested on a statewide basis or within categories associated with identified risk factors (e.g., experience of recruiters, size or growth in local migratory child population, effectiveness of local quality control procedures) in order to help identify possible problems with the State's child eligibility determinations;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5" w:name="b_2_iii"/>
      <w:bookmarkEnd w:id="25"/>
      <w:r w:rsidRPr="003B35BB">
        <w:rPr>
          <w:rFonts w:ascii="Verdana" w:eastAsia="Times New Roman" w:hAnsi="Verdana" w:cs="Times New Roman"/>
          <w:b/>
          <w:bCs/>
          <w:color w:val="333333"/>
          <w:sz w:val="21"/>
          <w:szCs w:val="21"/>
        </w:rPr>
        <w:lastRenderedPageBreak/>
        <w:t>(iii)</w:t>
      </w:r>
      <w:r w:rsidRPr="003B35BB">
        <w:rPr>
          <w:rFonts w:ascii="Verdana" w:eastAsia="Times New Roman" w:hAnsi="Verdana" w:cs="Times New Roman"/>
          <w:color w:val="333333"/>
          <w:sz w:val="21"/>
          <w:szCs w:val="21"/>
        </w:rPr>
        <w:t> Conduct re-interviews with the parents or guardians of the children in the sample. States must use a face-to-face approach to conduct these re-interviews unless circumstances make face-to-face re-interviews impractical and necessitate the use of an alternative method such as telephone re-interviewing;</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6" w:name="b_2_iv"/>
      <w:bookmarkEnd w:id="26"/>
      <w:r w:rsidRPr="003B35BB">
        <w:rPr>
          <w:rFonts w:ascii="Verdana" w:eastAsia="Times New Roman" w:hAnsi="Verdana" w:cs="Times New Roman"/>
          <w:b/>
          <w:bCs/>
          <w:color w:val="333333"/>
          <w:sz w:val="21"/>
          <w:szCs w:val="21"/>
        </w:rPr>
        <w:t>(iv)</w:t>
      </w:r>
      <w:r w:rsidRPr="003B35BB">
        <w:rPr>
          <w:rFonts w:ascii="Verdana" w:eastAsia="Times New Roman" w:hAnsi="Verdana" w:cs="Times New Roman"/>
          <w:color w:val="333333"/>
          <w:sz w:val="21"/>
          <w:szCs w:val="21"/>
        </w:rPr>
        <w:t> Determine and document in writing whether the child eligibility determination and the information on which the determination was based were true and correct;</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7" w:name="b_2_v"/>
      <w:bookmarkEnd w:id="27"/>
      <w:r w:rsidRPr="003B35BB">
        <w:rPr>
          <w:rFonts w:ascii="Verdana" w:eastAsia="Times New Roman" w:hAnsi="Verdana" w:cs="Times New Roman"/>
          <w:b/>
          <w:bCs/>
          <w:color w:val="333333"/>
          <w:sz w:val="21"/>
          <w:szCs w:val="21"/>
        </w:rPr>
        <w:t>(v)</w:t>
      </w:r>
      <w:r w:rsidRPr="003B35BB">
        <w:rPr>
          <w:rFonts w:ascii="Verdana" w:eastAsia="Times New Roman" w:hAnsi="Verdana" w:cs="Times New Roman"/>
          <w:color w:val="333333"/>
          <w:sz w:val="21"/>
          <w:szCs w:val="21"/>
        </w:rPr>
        <w:t> Stop serving any children found not to be eligible and remove them from the data base used to compile counts of eligible children;</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8" w:name="b_2_vi"/>
      <w:bookmarkEnd w:id="28"/>
      <w:r w:rsidRPr="003B35BB">
        <w:rPr>
          <w:rFonts w:ascii="Verdana" w:eastAsia="Times New Roman" w:hAnsi="Verdana" w:cs="Times New Roman"/>
          <w:b/>
          <w:bCs/>
          <w:color w:val="333333"/>
          <w:sz w:val="21"/>
          <w:szCs w:val="21"/>
        </w:rPr>
        <w:t>(vi)</w:t>
      </w:r>
      <w:r w:rsidRPr="003B35BB">
        <w:rPr>
          <w:rFonts w:ascii="Verdana" w:eastAsia="Times New Roman" w:hAnsi="Verdana" w:cs="Times New Roman"/>
          <w:color w:val="333333"/>
          <w:sz w:val="21"/>
          <w:szCs w:val="21"/>
        </w:rPr>
        <w:t> Certify and report to the Department the results of re-interviewing in the SEA's annual report of the number of migratory children in the State required by the Secretary; and</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29" w:name="b_2_vii"/>
      <w:bookmarkEnd w:id="29"/>
      <w:r w:rsidRPr="003B35BB">
        <w:rPr>
          <w:rFonts w:ascii="Verdana" w:eastAsia="Times New Roman" w:hAnsi="Verdana" w:cs="Times New Roman"/>
          <w:b/>
          <w:bCs/>
          <w:color w:val="333333"/>
          <w:sz w:val="21"/>
          <w:szCs w:val="21"/>
        </w:rPr>
        <w:t>(vii)</w:t>
      </w:r>
      <w:r w:rsidRPr="003B35BB">
        <w:rPr>
          <w:rFonts w:ascii="Verdana" w:eastAsia="Times New Roman" w:hAnsi="Verdana" w:cs="Times New Roman"/>
          <w:color w:val="333333"/>
          <w:sz w:val="21"/>
          <w:szCs w:val="21"/>
        </w:rPr>
        <w:t> Implement corrective actions or improvements to address the problems identified by the State (including the identification and removal of other ineligible children in the total population), and any corrective actions, including retrospective re-interviewing, required by the Secretary.</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0" w:name="c"/>
      <w:bookmarkEnd w:id="30"/>
      <w:r w:rsidRPr="003B35BB">
        <w:rPr>
          <w:rFonts w:ascii="Verdana" w:eastAsia="Times New Roman" w:hAnsi="Verdana" w:cs="Times New Roman"/>
          <w:b/>
          <w:bCs/>
          <w:color w:val="333333"/>
          <w:sz w:val="21"/>
          <w:szCs w:val="21"/>
        </w:rPr>
        <w:t>(c)</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Responsibilities of SEAs to document the eligibility of migratory children.</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1" w:name="c_1"/>
      <w:bookmarkEnd w:id="31"/>
      <w:r w:rsidRPr="003B35BB">
        <w:rPr>
          <w:rFonts w:ascii="Verdana" w:eastAsia="Times New Roman" w:hAnsi="Verdana" w:cs="Times New Roman"/>
          <w:b/>
          <w:bCs/>
          <w:color w:val="333333"/>
          <w:sz w:val="21"/>
          <w:szCs w:val="21"/>
        </w:rPr>
        <w:t>(1)</w:t>
      </w:r>
      <w:r w:rsidRPr="003B35BB">
        <w:rPr>
          <w:rFonts w:ascii="Verdana" w:eastAsia="Times New Roman" w:hAnsi="Verdana" w:cs="Times New Roman"/>
          <w:color w:val="333333"/>
          <w:sz w:val="21"/>
          <w:szCs w:val="21"/>
        </w:rPr>
        <w:t> An SEA and its operating agencies must use the Certificate of Eligibility(COE) form established by the Secretary to document the State's determination of the eligibility of migratory children.</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2" w:name="c_2"/>
      <w:bookmarkEnd w:id="32"/>
      <w:r w:rsidRPr="003B35BB">
        <w:rPr>
          <w:rFonts w:ascii="Verdana" w:eastAsia="Times New Roman" w:hAnsi="Verdana" w:cs="Times New Roman"/>
          <w:b/>
          <w:bCs/>
          <w:color w:val="333333"/>
          <w:sz w:val="21"/>
          <w:szCs w:val="21"/>
        </w:rPr>
        <w:t>(2)</w:t>
      </w:r>
      <w:r w:rsidRPr="003B35BB">
        <w:rPr>
          <w:rFonts w:ascii="Verdana" w:eastAsia="Times New Roman" w:hAnsi="Verdana" w:cs="Times New Roman"/>
          <w:color w:val="333333"/>
          <w:sz w:val="21"/>
          <w:szCs w:val="21"/>
        </w:rPr>
        <w:t> In addition to the form required under paragraph (a) of this section, the SEA and its operating agencies must maintain any additional documentation the SEA requires to confirm that each child found eligible for this program meets all of the eligibility definitions in§ </w:t>
      </w:r>
      <w:hyperlink r:id="rId9" w:tooltip="200.81" w:history="1">
        <w:r w:rsidRPr="003B35BB">
          <w:rPr>
            <w:rFonts w:ascii="Verdana" w:eastAsia="Times New Roman" w:hAnsi="Verdana" w:cs="Times New Roman"/>
            <w:color w:val="005C72"/>
            <w:sz w:val="21"/>
            <w:szCs w:val="21"/>
            <w:u w:val="single"/>
          </w:rPr>
          <w:t>200.81</w:t>
        </w:r>
      </w:hyperlink>
      <w:r w:rsidRPr="003B35BB">
        <w:rPr>
          <w:rFonts w:ascii="Verdana" w:eastAsia="Times New Roman" w:hAnsi="Verdana" w:cs="Times New Roman"/>
          <w:color w:val="333333"/>
          <w:sz w:val="21"/>
          <w:szCs w:val="21"/>
        </w:rPr>
        <w:t>.</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3" w:name="c_3"/>
      <w:bookmarkEnd w:id="33"/>
      <w:r w:rsidRPr="003B35BB">
        <w:rPr>
          <w:rFonts w:ascii="Verdana" w:eastAsia="Times New Roman" w:hAnsi="Verdana" w:cs="Times New Roman"/>
          <w:b/>
          <w:bCs/>
          <w:color w:val="333333"/>
          <w:sz w:val="21"/>
          <w:szCs w:val="21"/>
        </w:rPr>
        <w:t>(3)</w:t>
      </w:r>
      <w:r w:rsidRPr="003B35BB">
        <w:rPr>
          <w:rFonts w:ascii="Verdana" w:eastAsia="Times New Roman" w:hAnsi="Verdana" w:cs="Times New Roman"/>
          <w:color w:val="333333"/>
          <w:sz w:val="21"/>
          <w:szCs w:val="21"/>
        </w:rPr>
        <w:t> An SEA is responsible for the accuracy of all the determinations of the eligibility of migratory children identified in the State.</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4" w:name="d"/>
      <w:bookmarkEnd w:id="34"/>
      <w:r w:rsidRPr="003B35BB">
        <w:rPr>
          <w:rFonts w:ascii="Verdana" w:eastAsia="Times New Roman" w:hAnsi="Verdana" w:cs="Times New Roman"/>
          <w:b/>
          <w:bCs/>
          <w:color w:val="333333"/>
          <w:sz w:val="21"/>
          <w:szCs w:val="21"/>
        </w:rPr>
        <w:t>(d)</w:t>
      </w:r>
      <w:r w:rsidRPr="003B35BB">
        <w:rPr>
          <w:rFonts w:ascii="Verdana" w:eastAsia="Times New Roman" w:hAnsi="Verdana" w:cs="Times New Roman"/>
          <w:color w:val="333333"/>
          <w:sz w:val="21"/>
          <w:szCs w:val="21"/>
        </w:rPr>
        <w:t> </w:t>
      </w:r>
      <w:r w:rsidRPr="003B35BB">
        <w:rPr>
          <w:rFonts w:ascii="Verdana" w:eastAsia="Times New Roman" w:hAnsi="Verdana" w:cs="Times New Roman"/>
          <w:b/>
          <w:bCs/>
          <w:i/>
          <w:iCs/>
          <w:color w:val="333333"/>
          <w:sz w:val="21"/>
          <w:szCs w:val="21"/>
        </w:rPr>
        <w:t>Responsibilities of an SEA to establish and implement a system of quality controls for the proper identification and recruitment of eligible migratory children.</w:t>
      </w:r>
      <w:r w:rsidRPr="003B35BB">
        <w:rPr>
          <w:rFonts w:ascii="Verdana" w:eastAsia="Times New Roman" w:hAnsi="Verdana" w:cs="Times New Roman"/>
          <w:b/>
          <w:bCs/>
          <w:color w:val="333333"/>
          <w:sz w:val="21"/>
          <w:szCs w:val="21"/>
        </w:rPr>
        <w:t> </w:t>
      </w:r>
      <w:r w:rsidRPr="003B35BB">
        <w:rPr>
          <w:rFonts w:ascii="Verdana" w:eastAsia="Times New Roman" w:hAnsi="Verdana" w:cs="Times New Roman"/>
          <w:color w:val="333333"/>
          <w:sz w:val="21"/>
          <w:szCs w:val="21"/>
        </w:rPr>
        <w:t>An SEA must establish and implement a system of quality controls for the proper identification and recruitment of eligible migratory children on a statewide basis. At a minimum, this system of quality controls must include the following components: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5" w:name="d_1"/>
      <w:bookmarkEnd w:id="35"/>
      <w:r w:rsidRPr="003B35BB">
        <w:rPr>
          <w:rFonts w:ascii="Verdana" w:eastAsia="Times New Roman" w:hAnsi="Verdana" w:cs="Times New Roman"/>
          <w:b/>
          <w:bCs/>
          <w:color w:val="333333"/>
          <w:sz w:val="21"/>
          <w:szCs w:val="21"/>
        </w:rPr>
        <w:t>(1)</w:t>
      </w:r>
      <w:r w:rsidRPr="003B35BB">
        <w:rPr>
          <w:rFonts w:ascii="Verdana" w:eastAsia="Times New Roman" w:hAnsi="Verdana" w:cs="Times New Roman"/>
          <w:color w:val="333333"/>
          <w:sz w:val="21"/>
          <w:szCs w:val="21"/>
        </w:rPr>
        <w:t> Training to ensure that recruiters and all other staff involved in determining eligibility and in conducting quality control procedures know the requirements for accurately determining and documenting child eligibility under the MEP.</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6" w:name="d_2"/>
      <w:bookmarkEnd w:id="36"/>
      <w:r w:rsidRPr="003B35BB">
        <w:rPr>
          <w:rFonts w:ascii="Verdana" w:eastAsia="Times New Roman" w:hAnsi="Verdana" w:cs="Times New Roman"/>
          <w:b/>
          <w:bCs/>
          <w:color w:val="333333"/>
          <w:sz w:val="21"/>
          <w:szCs w:val="21"/>
        </w:rPr>
        <w:t>(2)</w:t>
      </w:r>
      <w:r w:rsidRPr="003B35BB">
        <w:rPr>
          <w:rFonts w:ascii="Verdana" w:eastAsia="Times New Roman" w:hAnsi="Verdana" w:cs="Times New Roman"/>
          <w:color w:val="333333"/>
          <w:sz w:val="21"/>
          <w:szCs w:val="21"/>
        </w:rPr>
        <w:t> Supervision and annual review and evaluation of the identification and recruitment practices of individual recruiters.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7" w:name="d_3"/>
      <w:bookmarkEnd w:id="37"/>
      <w:r w:rsidRPr="003B35BB">
        <w:rPr>
          <w:rFonts w:ascii="Verdana" w:eastAsia="Times New Roman" w:hAnsi="Verdana" w:cs="Times New Roman"/>
          <w:b/>
          <w:bCs/>
          <w:color w:val="333333"/>
          <w:sz w:val="21"/>
          <w:szCs w:val="21"/>
        </w:rPr>
        <w:t>(3)</w:t>
      </w:r>
      <w:r w:rsidRPr="003B35BB">
        <w:rPr>
          <w:rFonts w:ascii="Verdana" w:eastAsia="Times New Roman" w:hAnsi="Verdana" w:cs="Times New Roman"/>
          <w:color w:val="333333"/>
          <w:sz w:val="21"/>
          <w:szCs w:val="21"/>
        </w:rPr>
        <w:t> A formal process for resolving eligibility questions raised by recruiters and their supervisors and for ensuring that this information is communicated to all local operating agencies.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8" w:name="d_4"/>
      <w:bookmarkEnd w:id="38"/>
      <w:r w:rsidRPr="003B35BB">
        <w:rPr>
          <w:rFonts w:ascii="Verdana" w:eastAsia="Times New Roman" w:hAnsi="Verdana" w:cs="Times New Roman"/>
          <w:b/>
          <w:bCs/>
          <w:color w:val="333333"/>
          <w:sz w:val="21"/>
          <w:szCs w:val="21"/>
        </w:rPr>
        <w:t>(4)</w:t>
      </w:r>
      <w:r w:rsidRPr="003B35BB">
        <w:rPr>
          <w:rFonts w:ascii="Verdana" w:eastAsia="Times New Roman" w:hAnsi="Verdana" w:cs="Times New Roman"/>
          <w:color w:val="333333"/>
          <w:sz w:val="21"/>
          <w:szCs w:val="21"/>
        </w:rPr>
        <w:t> An examination by qualified individuals at the SEA or local operating agency level of each COE to verify that the written documentation is sufficient and that, based on the recorded data, the child is eligible for MEP services.</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39" w:name="d_5"/>
      <w:bookmarkEnd w:id="39"/>
      <w:r w:rsidRPr="003B35BB">
        <w:rPr>
          <w:rFonts w:ascii="Verdana" w:eastAsia="Times New Roman" w:hAnsi="Verdana" w:cs="Times New Roman"/>
          <w:b/>
          <w:bCs/>
          <w:color w:val="333333"/>
          <w:sz w:val="21"/>
          <w:szCs w:val="21"/>
        </w:rPr>
        <w:lastRenderedPageBreak/>
        <w:t>(5)</w:t>
      </w:r>
      <w:r w:rsidRPr="003B35BB">
        <w:rPr>
          <w:rFonts w:ascii="Verdana" w:eastAsia="Times New Roman" w:hAnsi="Verdana" w:cs="Times New Roman"/>
          <w:color w:val="333333"/>
          <w:sz w:val="21"/>
          <w:szCs w:val="21"/>
        </w:rPr>
        <w:t> A process for the SEA to validate that eligibility determinations were properly made, including conducting prospective re-interviewing as described in paragraph (b)(2).</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40" w:name="d_6"/>
      <w:bookmarkEnd w:id="40"/>
      <w:r w:rsidRPr="003B35BB">
        <w:rPr>
          <w:rFonts w:ascii="Verdana" w:eastAsia="Times New Roman" w:hAnsi="Verdana" w:cs="Times New Roman"/>
          <w:b/>
          <w:bCs/>
          <w:color w:val="333333"/>
          <w:sz w:val="21"/>
          <w:szCs w:val="21"/>
        </w:rPr>
        <w:t>(6)</w:t>
      </w:r>
      <w:r w:rsidRPr="003B35BB">
        <w:rPr>
          <w:rFonts w:ascii="Verdana" w:eastAsia="Times New Roman" w:hAnsi="Verdana" w:cs="Times New Roman"/>
          <w:color w:val="333333"/>
          <w:sz w:val="21"/>
          <w:szCs w:val="21"/>
        </w:rPr>
        <w:t> Documentation that supports the SEA's implementation of this quality-control system and of a record of actions taken to improve the system where periodic reviews and evaluations indicate a need to do so.</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bookmarkStart w:id="41" w:name="d_7"/>
      <w:bookmarkEnd w:id="41"/>
      <w:r w:rsidRPr="003B35BB">
        <w:rPr>
          <w:rFonts w:ascii="Verdana" w:eastAsia="Times New Roman" w:hAnsi="Verdana" w:cs="Times New Roman"/>
          <w:b/>
          <w:bCs/>
          <w:color w:val="333333"/>
          <w:sz w:val="21"/>
          <w:szCs w:val="21"/>
        </w:rPr>
        <w:t>(7)</w:t>
      </w:r>
      <w:r w:rsidRPr="003B35BB">
        <w:rPr>
          <w:rFonts w:ascii="Verdana" w:eastAsia="Times New Roman" w:hAnsi="Verdana" w:cs="Times New Roman"/>
          <w:color w:val="333333"/>
          <w:sz w:val="21"/>
          <w:szCs w:val="21"/>
        </w:rPr>
        <w:t> A process for implementing corrective action if the SEA finds COEs that do not sufficiently document a child's eligibility for the MEP, or in response to internal State audit findings and recommendations, or monitoring or audit findings of the Secretary.</w:t>
      </w:r>
    </w:p>
    <w:p w:rsidR="003B35BB" w:rsidRPr="003B35BB" w:rsidRDefault="003B35BB" w:rsidP="003B35BB">
      <w:pPr>
        <w:shd w:val="clear" w:color="auto" w:fill="FFFFFF"/>
        <w:spacing w:line="315" w:lineRule="atLeast"/>
        <w:rPr>
          <w:rFonts w:ascii="Verdana" w:eastAsia="Times New Roman" w:hAnsi="Verdana" w:cs="Times New Roman"/>
          <w:b/>
          <w:bCs/>
          <w:color w:val="333333"/>
          <w:sz w:val="21"/>
          <w:szCs w:val="21"/>
        </w:rPr>
      </w:pPr>
      <w:r w:rsidRPr="003B35BB">
        <w:rPr>
          <w:rFonts w:ascii="Verdana" w:eastAsia="Times New Roman" w:hAnsi="Verdana" w:cs="Times New Roman"/>
          <w:b/>
          <w:bCs/>
          <w:color w:val="333333"/>
          <w:sz w:val="21"/>
          <w:szCs w:val="21"/>
        </w:rPr>
        <w:t>Authority:</w:t>
      </w:r>
    </w:p>
    <w:p w:rsidR="003B35BB" w:rsidRPr="003B35BB" w:rsidRDefault="003B35BB" w:rsidP="003B35BB">
      <w:pPr>
        <w:shd w:val="clear" w:color="auto" w:fill="FFFFFF"/>
        <w:spacing w:line="315" w:lineRule="atLeast"/>
        <w:rPr>
          <w:rFonts w:ascii="Verdana" w:eastAsia="Times New Roman" w:hAnsi="Verdana" w:cs="Times New Roman"/>
          <w:color w:val="333333"/>
          <w:sz w:val="21"/>
          <w:szCs w:val="21"/>
        </w:rPr>
      </w:pPr>
      <w:hyperlink r:id="rId10" w:tooltip="20 U.S.C. 6391-639" w:history="1">
        <w:r w:rsidRPr="003B35BB">
          <w:rPr>
            <w:rFonts w:ascii="Verdana" w:eastAsia="Times New Roman" w:hAnsi="Verdana" w:cs="Times New Roman"/>
            <w:color w:val="005C72"/>
            <w:sz w:val="21"/>
            <w:szCs w:val="21"/>
            <w:u w:val="single"/>
          </w:rPr>
          <w:t>20 U.S.C. 6391-639</w:t>
        </w:r>
      </w:hyperlink>
      <w:r w:rsidRPr="003B35BB">
        <w:rPr>
          <w:rFonts w:ascii="Verdana" w:eastAsia="Times New Roman" w:hAnsi="Verdana" w:cs="Times New Roman"/>
          <w:color w:val="333333"/>
          <w:sz w:val="21"/>
          <w:szCs w:val="21"/>
        </w:rPr>
        <w:t>9, 6571, 7844(d); </w:t>
      </w:r>
      <w:hyperlink r:id="rId11" w:tooltip="18 U.S.C. 1001" w:history="1">
        <w:r w:rsidRPr="003B35BB">
          <w:rPr>
            <w:rFonts w:ascii="Verdana" w:eastAsia="Times New Roman" w:hAnsi="Verdana" w:cs="Times New Roman"/>
            <w:color w:val="005C72"/>
            <w:sz w:val="21"/>
            <w:szCs w:val="21"/>
            <w:u w:val="single"/>
          </w:rPr>
          <w:t>18 U.S.C. 1001</w:t>
        </w:r>
      </w:hyperlink>
      <w:r w:rsidRPr="003B35BB">
        <w:rPr>
          <w:rFonts w:ascii="Verdana" w:eastAsia="Times New Roman" w:hAnsi="Verdana" w:cs="Times New Roman"/>
          <w:color w:val="333333"/>
          <w:sz w:val="21"/>
          <w:szCs w:val="21"/>
        </w:rPr>
        <w:t>.</w:t>
      </w:r>
    </w:p>
    <w:p w:rsidR="003B35BB" w:rsidRPr="003B35BB" w:rsidRDefault="003B35BB" w:rsidP="003B35BB">
      <w:pPr>
        <w:shd w:val="clear" w:color="auto" w:fill="FFFFFF"/>
        <w:spacing w:after="0" w:line="315" w:lineRule="atLeast"/>
        <w:rPr>
          <w:rFonts w:ascii="Verdana" w:eastAsia="Times New Roman" w:hAnsi="Verdana" w:cs="Times New Roman"/>
          <w:color w:val="333333"/>
          <w:sz w:val="21"/>
          <w:szCs w:val="21"/>
        </w:rPr>
      </w:pPr>
      <w:r w:rsidRPr="003B35BB">
        <w:rPr>
          <w:rFonts w:ascii="Verdana" w:eastAsia="Times New Roman" w:hAnsi="Verdana" w:cs="Times New Roman"/>
          <w:color w:val="333333"/>
          <w:sz w:val="21"/>
          <w:szCs w:val="21"/>
        </w:rPr>
        <w:t>[</w:t>
      </w:r>
      <w:hyperlink r:id="rId12" w:tooltip="73 FR 44124" w:history="1">
        <w:r w:rsidRPr="003B35BB">
          <w:rPr>
            <w:rFonts w:ascii="Verdana" w:eastAsia="Times New Roman" w:hAnsi="Verdana" w:cs="Times New Roman"/>
            <w:color w:val="005C72"/>
            <w:sz w:val="21"/>
            <w:szCs w:val="21"/>
            <w:u w:val="single"/>
          </w:rPr>
          <w:t>73 FR 44124</w:t>
        </w:r>
      </w:hyperlink>
      <w:r w:rsidRPr="003B35BB">
        <w:rPr>
          <w:rFonts w:ascii="Verdana" w:eastAsia="Times New Roman" w:hAnsi="Verdana" w:cs="Times New Roman"/>
          <w:color w:val="333333"/>
          <w:sz w:val="21"/>
          <w:szCs w:val="21"/>
        </w:rPr>
        <w:t>, July 29, 2008]</w:t>
      </w:r>
    </w:p>
    <w:p w:rsidR="003B35BB" w:rsidRPr="003B35BB" w:rsidRDefault="003B35BB" w:rsidP="003B35BB">
      <w:pPr>
        <w:shd w:val="clear" w:color="auto" w:fill="FFFFFF"/>
        <w:spacing w:line="315" w:lineRule="atLeast"/>
        <w:rPr>
          <w:rFonts w:ascii="Verdana" w:eastAsia="Times New Roman" w:hAnsi="Verdana" w:cs="Times New Roman"/>
          <w:b/>
          <w:bCs/>
          <w:color w:val="333333"/>
          <w:sz w:val="21"/>
          <w:szCs w:val="21"/>
        </w:rPr>
      </w:pPr>
      <w:r w:rsidRPr="003B35BB">
        <w:rPr>
          <w:rFonts w:ascii="Verdana" w:eastAsia="Times New Roman" w:hAnsi="Verdana" w:cs="Times New Roman"/>
          <w:b/>
          <w:bCs/>
          <w:color w:val="333333"/>
          <w:sz w:val="21"/>
          <w:szCs w:val="21"/>
        </w:rPr>
        <w:t>Effective Date Note:</w:t>
      </w:r>
    </w:p>
    <w:p w:rsidR="003B35BB" w:rsidRPr="003B35BB" w:rsidRDefault="003B35BB" w:rsidP="003B35BB">
      <w:pPr>
        <w:shd w:val="clear" w:color="auto" w:fill="FFFFFF"/>
        <w:spacing w:line="315" w:lineRule="atLeast"/>
        <w:rPr>
          <w:rFonts w:ascii="Verdana" w:eastAsia="Times New Roman" w:hAnsi="Verdana" w:cs="Times New Roman"/>
          <w:color w:val="333333"/>
          <w:sz w:val="21"/>
          <w:szCs w:val="21"/>
        </w:rPr>
      </w:pPr>
      <w:r w:rsidRPr="003B35BB">
        <w:rPr>
          <w:rFonts w:ascii="Verdana" w:eastAsia="Times New Roman" w:hAnsi="Verdana" w:cs="Times New Roman"/>
          <w:color w:val="333333"/>
          <w:sz w:val="21"/>
          <w:szCs w:val="21"/>
        </w:rPr>
        <w:t>At </w:t>
      </w:r>
      <w:hyperlink r:id="rId13" w:tooltip="73 FR 44124" w:history="1">
        <w:r w:rsidRPr="003B35BB">
          <w:rPr>
            <w:rFonts w:ascii="Verdana" w:eastAsia="Times New Roman" w:hAnsi="Verdana" w:cs="Times New Roman"/>
            <w:color w:val="005C72"/>
            <w:sz w:val="21"/>
            <w:szCs w:val="21"/>
            <w:u w:val="single"/>
          </w:rPr>
          <w:t>73 FR 44124</w:t>
        </w:r>
      </w:hyperlink>
      <w:r w:rsidRPr="003B35BB">
        <w:rPr>
          <w:rFonts w:ascii="Verdana" w:eastAsia="Times New Roman" w:hAnsi="Verdana" w:cs="Times New Roman"/>
          <w:color w:val="333333"/>
          <w:sz w:val="21"/>
          <w:szCs w:val="21"/>
        </w:rPr>
        <w:t>, July 29, 2008, § </w:t>
      </w:r>
      <w:hyperlink r:id="rId14" w:tooltip="200.89" w:history="1">
        <w:r w:rsidRPr="003B35BB">
          <w:rPr>
            <w:rFonts w:ascii="Verdana" w:eastAsia="Times New Roman" w:hAnsi="Verdana" w:cs="Times New Roman"/>
            <w:color w:val="005C72"/>
            <w:sz w:val="21"/>
            <w:szCs w:val="21"/>
            <w:u w:val="single"/>
          </w:rPr>
          <w:t>200.89</w:t>
        </w:r>
      </w:hyperlink>
      <w:r w:rsidRPr="003B35BB">
        <w:rPr>
          <w:rFonts w:ascii="Verdana" w:eastAsia="Times New Roman" w:hAnsi="Verdana" w:cs="Times New Roman"/>
          <w:color w:val="333333"/>
          <w:sz w:val="21"/>
          <w:szCs w:val="21"/>
        </w:rPr>
        <w:t> was added. This section contains information collection and recordkeeping requirements and will not become effective until approval has been given by the Office of Management and Budget.</w:t>
      </w:r>
    </w:p>
    <w:p w:rsidR="00452CBB" w:rsidRDefault="00452CBB"/>
    <w:sectPr w:rsidR="00452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DD" w:rsidRDefault="00865EDD" w:rsidP="003B35BB">
      <w:pPr>
        <w:spacing w:after="0" w:line="240" w:lineRule="auto"/>
      </w:pPr>
      <w:r>
        <w:separator/>
      </w:r>
    </w:p>
  </w:endnote>
  <w:endnote w:type="continuationSeparator" w:id="0">
    <w:p w:rsidR="00865EDD" w:rsidRDefault="00865EDD" w:rsidP="003B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DD" w:rsidRDefault="00865EDD" w:rsidP="003B35BB">
      <w:pPr>
        <w:spacing w:after="0" w:line="240" w:lineRule="auto"/>
      </w:pPr>
      <w:r>
        <w:separator/>
      </w:r>
    </w:p>
  </w:footnote>
  <w:footnote w:type="continuationSeparator" w:id="0">
    <w:p w:rsidR="00865EDD" w:rsidRDefault="00865EDD" w:rsidP="003B3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B31CC"/>
    <w:multiLevelType w:val="multilevel"/>
    <w:tmpl w:val="4A7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BB"/>
    <w:rsid w:val="003B35BB"/>
    <w:rsid w:val="00452CBB"/>
    <w:rsid w:val="0086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9B058-E1E6-4E19-8B69-B8257BBD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35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BB"/>
  </w:style>
  <w:style w:type="paragraph" w:styleId="Footer">
    <w:name w:val="footer"/>
    <w:basedOn w:val="Normal"/>
    <w:link w:val="FooterChar"/>
    <w:uiPriority w:val="99"/>
    <w:unhideWhenUsed/>
    <w:rsid w:val="003B3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BB"/>
  </w:style>
  <w:style w:type="character" w:customStyle="1" w:styleId="Heading1Char">
    <w:name w:val="Heading 1 Char"/>
    <w:basedOn w:val="DefaultParagraphFont"/>
    <w:link w:val="Heading1"/>
    <w:uiPriority w:val="9"/>
    <w:rsid w:val="003B35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35BB"/>
    <w:rPr>
      <w:color w:val="0000FF"/>
      <w:u w:val="single"/>
    </w:rPr>
  </w:style>
  <w:style w:type="character" w:customStyle="1" w:styleId="apple-converted-space">
    <w:name w:val="apple-converted-space"/>
    <w:basedOn w:val="DefaultParagraphFont"/>
    <w:rsid w:val="003B35BB"/>
  </w:style>
  <w:style w:type="character" w:customStyle="1" w:styleId="contents">
    <w:name w:val="contents"/>
    <w:basedOn w:val="DefaultParagraphFont"/>
    <w:rsid w:val="003B35BB"/>
  </w:style>
  <w:style w:type="character" w:customStyle="1" w:styleId="sectno">
    <w:name w:val="sectno"/>
    <w:basedOn w:val="DefaultParagraphFont"/>
    <w:rsid w:val="003B35BB"/>
  </w:style>
  <w:style w:type="character" w:customStyle="1" w:styleId="subject">
    <w:name w:val="subject"/>
    <w:basedOn w:val="DefaultParagraphFont"/>
    <w:rsid w:val="003B35BB"/>
  </w:style>
  <w:style w:type="character" w:customStyle="1" w:styleId="enumxml">
    <w:name w:val="enumxml"/>
    <w:basedOn w:val="DefaultParagraphFont"/>
    <w:rsid w:val="003B35BB"/>
  </w:style>
  <w:style w:type="character" w:styleId="Emphasis">
    <w:name w:val="Emphasis"/>
    <w:basedOn w:val="DefaultParagraphFont"/>
    <w:uiPriority w:val="20"/>
    <w:qFormat/>
    <w:rsid w:val="003B35BB"/>
    <w:rPr>
      <w:i/>
      <w:iCs/>
    </w:rPr>
  </w:style>
  <w:style w:type="character" w:customStyle="1" w:styleId="ptext-2">
    <w:name w:val="ptext-2"/>
    <w:basedOn w:val="DefaultParagraphFont"/>
    <w:rsid w:val="003B35BB"/>
  </w:style>
  <w:style w:type="character" w:customStyle="1" w:styleId="aref-unknown">
    <w:name w:val="aref-unknown"/>
    <w:basedOn w:val="DefaultParagraphFont"/>
    <w:rsid w:val="003B35BB"/>
  </w:style>
  <w:style w:type="character" w:customStyle="1" w:styleId="ptext-3">
    <w:name w:val="ptext-3"/>
    <w:basedOn w:val="DefaultParagraphFont"/>
    <w:rsid w:val="003B35BB"/>
  </w:style>
  <w:style w:type="character" w:customStyle="1" w:styleId="ptext-4">
    <w:name w:val="ptext-4"/>
    <w:basedOn w:val="DefaultParagraphFont"/>
    <w:rsid w:val="003B35BB"/>
  </w:style>
  <w:style w:type="character" w:customStyle="1" w:styleId="ptext-1">
    <w:name w:val="ptext-1"/>
    <w:basedOn w:val="DefaultParagraphFont"/>
    <w:rsid w:val="003B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49120">
      <w:bodyDiv w:val="1"/>
      <w:marLeft w:val="0"/>
      <w:marRight w:val="0"/>
      <w:marTop w:val="0"/>
      <w:marBottom w:val="0"/>
      <w:divBdr>
        <w:top w:val="none" w:sz="0" w:space="0" w:color="auto"/>
        <w:left w:val="none" w:sz="0" w:space="0" w:color="auto"/>
        <w:bottom w:val="none" w:sz="0" w:space="0" w:color="auto"/>
        <w:right w:val="none" w:sz="0" w:space="0" w:color="auto"/>
      </w:divBdr>
      <w:divsChild>
        <w:div w:id="642078692">
          <w:marLeft w:val="0"/>
          <w:marRight w:val="0"/>
          <w:marTop w:val="0"/>
          <w:marBottom w:val="0"/>
          <w:divBdr>
            <w:top w:val="none" w:sz="0" w:space="0" w:color="auto"/>
            <w:left w:val="none" w:sz="0" w:space="0" w:color="auto"/>
            <w:bottom w:val="none" w:sz="0" w:space="0" w:color="auto"/>
            <w:right w:val="none" w:sz="0" w:space="0" w:color="auto"/>
          </w:divBdr>
          <w:divsChild>
            <w:div w:id="149561414">
              <w:marLeft w:val="0"/>
              <w:marRight w:val="0"/>
              <w:marTop w:val="0"/>
              <w:marBottom w:val="0"/>
              <w:divBdr>
                <w:top w:val="none" w:sz="0" w:space="0" w:color="auto"/>
                <w:left w:val="none" w:sz="0" w:space="0" w:color="auto"/>
                <w:bottom w:val="none" w:sz="0" w:space="0" w:color="auto"/>
                <w:right w:val="none" w:sz="0" w:space="0" w:color="auto"/>
              </w:divBdr>
              <w:divsChild>
                <w:div w:id="606157098">
                  <w:marLeft w:val="0"/>
                  <w:marRight w:val="0"/>
                  <w:marTop w:val="0"/>
                  <w:marBottom w:val="0"/>
                  <w:divBdr>
                    <w:top w:val="none" w:sz="0" w:space="0" w:color="auto"/>
                    <w:left w:val="none" w:sz="0" w:space="0" w:color="auto"/>
                    <w:bottom w:val="none" w:sz="0" w:space="0" w:color="auto"/>
                    <w:right w:val="none" w:sz="0" w:space="0" w:color="auto"/>
                  </w:divBdr>
                  <w:divsChild>
                    <w:div w:id="868496023">
                      <w:marLeft w:val="0"/>
                      <w:marRight w:val="0"/>
                      <w:marTop w:val="0"/>
                      <w:marBottom w:val="0"/>
                      <w:divBdr>
                        <w:top w:val="none" w:sz="0" w:space="0" w:color="auto"/>
                        <w:left w:val="none" w:sz="0" w:space="0" w:color="auto"/>
                        <w:bottom w:val="none" w:sz="0" w:space="0" w:color="auto"/>
                        <w:right w:val="none" w:sz="0" w:space="0" w:color="auto"/>
                      </w:divBdr>
                    </w:div>
                    <w:div w:id="1221672568">
                      <w:marLeft w:val="0"/>
                      <w:marRight w:val="0"/>
                      <w:marTop w:val="0"/>
                      <w:marBottom w:val="0"/>
                      <w:divBdr>
                        <w:top w:val="none" w:sz="0" w:space="0" w:color="auto"/>
                        <w:left w:val="none" w:sz="0" w:space="0" w:color="auto"/>
                        <w:bottom w:val="none" w:sz="0" w:space="0" w:color="auto"/>
                        <w:right w:val="none" w:sz="0" w:space="0" w:color="auto"/>
                      </w:divBdr>
                      <w:divsChild>
                        <w:div w:id="1712458081">
                          <w:marLeft w:val="0"/>
                          <w:marRight w:val="0"/>
                          <w:marTop w:val="0"/>
                          <w:marBottom w:val="0"/>
                          <w:divBdr>
                            <w:top w:val="none" w:sz="0" w:space="0" w:color="auto"/>
                            <w:left w:val="none" w:sz="0" w:space="0" w:color="auto"/>
                            <w:bottom w:val="none" w:sz="0" w:space="0" w:color="auto"/>
                            <w:right w:val="none" w:sz="0" w:space="0" w:color="auto"/>
                          </w:divBdr>
                          <w:divsChild>
                            <w:div w:id="203372080">
                              <w:marLeft w:val="0"/>
                              <w:marRight w:val="0"/>
                              <w:marTop w:val="0"/>
                              <w:marBottom w:val="0"/>
                              <w:divBdr>
                                <w:top w:val="none" w:sz="0" w:space="0" w:color="auto"/>
                                <w:left w:val="none" w:sz="0" w:space="0" w:color="auto"/>
                                <w:bottom w:val="none" w:sz="0" w:space="0" w:color="auto"/>
                                <w:right w:val="none" w:sz="0" w:space="0" w:color="auto"/>
                              </w:divBdr>
                              <w:divsChild>
                                <w:div w:id="1787115970">
                                  <w:marLeft w:val="0"/>
                                  <w:marRight w:val="0"/>
                                  <w:marTop w:val="150"/>
                                  <w:marBottom w:val="0"/>
                                  <w:divBdr>
                                    <w:top w:val="none" w:sz="0" w:space="0" w:color="auto"/>
                                    <w:left w:val="none" w:sz="0" w:space="0" w:color="auto"/>
                                    <w:bottom w:val="none" w:sz="0" w:space="0" w:color="auto"/>
                                    <w:right w:val="none" w:sz="0" w:space="0" w:color="auto"/>
                                  </w:divBdr>
                                </w:div>
                                <w:div w:id="1894458807">
                                  <w:marLeft w:val="0"/>
                                  <w:marRight w:val="0"/>
                                  <w:marTop w:val="0"/>
                                  <w:marBottom w:val="0"/>
                                  <w:divBdr>
                                    <w:top w:val="none" w:sz="0" w:space="0" w:color="auto"/>
                                    <w:left w:val="none" w:sz="0" w:space="0" w:color="auto"/>
                                    <w:bottom w:val="none" w:sz="0" w:space="0" w:color="auto"/>
                                    <w:right w:val="none" w:sz="0" w:space="0" w:color="auto"/>
                                  </w:divBdr>
                                </w:div>
                                <w:div w:id="1673557685">
                                  <w:marLeft w:val="0"/>
                                  <w:marRight w:val="0"/>
                                  <w:marTop w:val="0"/>
                                  <w:marBottom w:val="0"/>
                                  <w:divBdr>
                                    <w:top w:val="none" w:sz="0" w:space="0" w:color="auto"/>
                                    <w:left w:val="none" w:sz="0" w:space="0" w:color="auto"/>
                                    <w:bottom w:val="none" w:sz="0" w:space="0" w:color="auto"/>
                                    <w:right w:val="none" w:sz="0" w:space="0" w:color="auto"/>
                                  </w:divBdr>
                                </w:div>
                                <w:div w:id="427387464">
                                  <w:marLeft w:val="0"/>
                                  <w:marRight w:val="0"/>
                                  <w:marTop w:val="0"/>
                                  <w:marBottom w:val="0"/>
                                  <w:divBdr>
                                    <w:top w:val="none" w:sz="0" w:space="0" w:color="auto"/>
                                    <w:left w:val="none" w:sz="0" w:space="0" w:color="auto"/>
                                    <w:bottom w:val="none" w:sz="0" w:space="0" w:color="auto"/>
                                    <w:right w:val="none" w:sz="0" w:space="0" w:color="auto"/>
                                  </w:divBdr>
                                </w:div>
                                <w:div w:id="2134211080">
                                  <w:marLeft w:val="0"/>
                                  <w:marRight w:val="0"/>
                                  <w:marTop w:val="0"/>
                                  <w:marBottom w:val="0"/>
                                  <w:divBdr>
                                    <w:top w:val="none" w:sz="0" w:space="0" w:color="auto"/>
                                    <w:left w:val="none" w:sz="0" w:space="0" w:color="auto"/>
                                    <w:bottom w:val="none" w:sz="0" w:space="0" w:color="auto"/>
                                    <w:right w:val="none" w:sz="0" w:space="0" w:color="auto"/>
                                  </w:divBdr>
                                </w:div>
                                <w:div w:id="607349713">
                                  <w:marLeft w:val="0"/>
                                  <w:marRight w:val="0"/>
                                  <w:marTop w:val="150"/>
                                  <w:marBottom w:val="0"/>
                                  <w:divBdr>
                                    <w:top w:val="none" w:sz="0" w:space="0" w:color="auto"/>
                                    <w:left w:val="none" w:sz="0" w:space="0" w:color="auto"/>
                                    <w:bottom w:val="none" w:sz="0" w:space="0" w:color="auto"/>
                                    <w:right w:val="none" w:sz="0" w:space="0" w:color="auto"/>
                                  </w:divBdr>
                                </w:div>
                                <w:div w:id="1333681172">
                                  <w:marLeft w:val="0"/>
                                  <w:marRight w:val="0"/>
                                  <w:marTop w:val="0"/>
                                  <w:marBottom w:val="0"/>
                                  <w:divBdr>
                                    <w:top w:val="none" w:sz="0" w:space="0" w:color="auto"/>
                                    <w:left w:val="none" w:sz="0" w:space="0" w:color="auto"/>
                                    <w:bottom w:val="none" w:sz="0" w:space="0" w:color="auto"/>
                                    <w:right w:val="none" w:sz="0" w:space="0" w:color="auto"/>
                                  </w:divBdr>
                                </w:div>
                                <w:div w:id="332294337">
                                  <w:marLeft w:val="0"/>
                                  <w:marRight w:val="0"/>
                                  <w:marTop w:val="0"/>
                                  <w:marBottom w:val="0"/>
                                  <w:divBdr>
                                    <w:top w:val="none" w:sz="0" w:space="0" w:color="auto"/>
                                    <w:left w:val="none" w:sz="0" w:space="0" w:color="auto"/>
                                    <w:bottom w:val="none" w:sz="0" w:space="0" w:color="auto"/>
                                    <w:right w:val="none" w:sz="0" w:space="0" w:color="auto"/>
                                  </w:divBdr>
                                </w:div>
                                <w:div w:id="1342317739">
                                  <w:marLeft w:val="0"/>
                                  <w:marRight w:val="0"/>
                                  <w:marTop w:val="0"/>
                                  <w:marBottom w:val="0"/>
                                  <w:divBdr>
                                    <w:top w:val="none" w:sz="0" w:space="0" w:color="auto"/>
                                    <w:left w:val="none" w:sz="0" w:space="0" w:color="auto"/>
                                    <w:bottom w:val="none" w:sz="0" w:space="0" w:color="auto"/>
                                    <w:right w:val="none" w:sz="0" w:space="0" w:color="auto"/>
                                  </w:divBdr>
                                </w:div>
                                <w:div w:id="1426875304">
                                  <w:marLeft w:val="0"/>
                                  <w:marRight w:val="0"/>
                                  <w:marTop w:val="0"/>
                                  <w:marBottom w:val="0"/>
                                  <w:divBdr>
                                    <w:top w:val="none" w:sz="0" w:space="0" w:color="auto"/>
                                    <w:left w:val="none" w:sz="0" w:space="0" w:color="auto"/>
                                    <w:bottom w:val="none" w:sz="0" w:space="0" w:color="auto"/>
                                    <w:right w:val="none" w:sz="0" w:space="0" w:color="auto"/>
                                  </w:divBdr>
                                </w:div>
                                <w:div w:id="1454130505">
                                  <w:marLeft w:val="0"/>
                                  <w:marRight w:val="0"/>
                                  <w:marTop w:val="0"/>
                                  <w:marBottom w:val="0"/>
                                  <w:divBdr>
                                    <w:top w:val="none" w:sz="0" w:space="0" w:color="auto"/>
                                    <w:left w:val="none" w:sz="0" w:space="0" w:color="auto"/>
                                    <w:bottom w:val="none" w:sz="0" w:space="0" w:color="auto"/>
                                    <w:right w:val="none" w:sz="0" w:space="0" w:color="auto"/>
                                  </w:divBdr>
                                </w:div>
                                <w:div w:id="803501231">
                                  <w:marLeft w:val="0"/>
                                  <w:marRight w:val="0"/>
                                  <w:marTop w:val="0"/>
                                  <w:marBottom w:val="0"/>
                                  <w:divBdr>
                                    <w:top w:val="none" w:sz="0" w:space="0" w:color="auto"/>
                                    <w:left w:val="none" w:sz="0" w:space="0" w:color="auto"/>
                                    <w:bottom w:val="none" w:sz="0" w:space="0" w:color="auto"/>
                                    <w:right w:val="none" w:sz="0" w:space="0" w:color="auto"/>
                                  </w:divBdr>
                                </w:div>
                                <w:div w:id="14039694">
                                  <w:marLeft w:val="0"/>
                                  <w:marRight w:val="0"/>
                                  <w:marTop w:val="0"/>
                                  <w:marBottom w:val="0"/>
                                  <w:divBdr>
                                    <w:top w:val="none" w:sz="0" w:space="0" w:color="auto"/>
                                    <w:left w:val="none" w:sz="0" w:space="0" w:color="auto"/>
                                    <w:bottom w:val="none" w:sz="0" w:space="0" w:color="auto"/>
                                    <w:right w:val="none" w:sz="0" w:space="0" w:color="auto"/>
                                  </w:divBdr>
                                </w:div>
                                <w:div w:id="19480125">
                                  <w:marLeft w:val="0"/>
                                  <w:marRight w:val="0"/>
                                  <w:marTop w:val="0"/>
                                  <w:marBottom w:val="0"/>
                                  <w:divBdr>
                                    <w:top w:val="none" w:sz="0" w:space="0" w:color="auto"/>
                                    <w:left w:val="none" w:sz="0" w:space="0" w:color="auto"/>
                                    <w:bottom w:val="none" w:sz="0" w:space="0" w:color="auto"/>
                                    <w:right w:val="none" w:sz="0" w:space="0" w:color="auto"/>
                                  </w:divBdr>
                                </w:div>
                                <w:div w:id="996298157">
                                  <w:marLeft w:val="0"/>
                                  <w:marRight w:val="0"/>
                                  <w:marTop w:val="0"/>
                                  <w:marBottom w:val="0"/>
                                  <w:divBdr>
                                    <w:top w:val="none" w:sz="0" w:space="0" w:color="auto"/>
                                    <w:left w:val="none" w:sz="0" w:space="0" w:color="auto"/>
                                    <w:bottom w:val="none" w:sz="0" w:space="0" w:color="auto"/>
                                    <w:right w:val="none" w:sz="0" w:space="0" w:color="auto"/>
                                  </w:divBdr>
                                </w:div>
                                <w:div w:id="1912157492">
                                  <w:marLeft w:val="0"/>
                                  <w:marRight w:val="0"/>
                                  <w:marTop w:val="0"/>
                                  <w:marBottom w:val="0"/>
                                  <w:divBdr>
                                    <w:top w:val="none" w:sz="0" w:space="0" w:color="auto"/>
                                    <w:left w:val="none" w:sz="0" w:space="0" w:color="auto"/>
                                    <w:bottom w:val="none" w:sz="0" w:space="0" w:color="auto"/>
                                    <w:right w:val="none" w:sz="0" w:space="0" w:color="auto"/>
                                  </w:divBdr>
                                </w:div>
                                <w:div w:id="836848181">
                                  <w:marLeft w:val="0"/>
                                  <w:marRight w:val="0"/>
                                  <w:marTop w:val="0"/>
                                  <w:marBottom w:val="0"/>
                                  <w:divBdr>
                                    <w:top w:val="none" w:sz="0" w:space="0" w:color="auto"/>
                                    <w:left w:val="none" w:sz="0" w:space="0" w:color="auto"/>
                                    <w:bottom w:val="none" w:sz="0" w:space="0" w:color="auto"/>
                                    <w:right w:val="none" w:sz="0" w:space="0" w:color="auto"/>
                                  </w:divBdr>
                                </w:div>
                                <w:div w:id="1797488052">
                                  <w:marLeft w:val="0"/>
                                  <w:marRight w:val="0"/>
                                  <w:marTop w:val="0"/>
                                  <w:marBottom w:val="0"/>
                                  <w:divBdr>
                                    <w:top w:val="none" w:sz="0" w:space="0" w:color="auto"/>
                                    <w:left w:val="none" w:sz="0" w:space="0" w:color="auto"/>
                                    <w:bottom w:val="none" w:sz="0" w:space="0" w:color="auto"/>
                                    <w:right w:val="none" w:sz="0" w:space="0" w:color="auto"/>
                                  </w:divBdr>
                                </w:div>
                                <w:div w:id="2132477242">
                                  <w:marLeft w:val="0"/>
                                  <w:marRight w:val="0"/>
                                  <w:marTop w:val="0"/>
                                  <w:marBottom w:val="0"/>
                                  <w:divBdr>
                                    <w:top w:val="none" w:sz="0" w:space="0" w:color="auto"/>
                                    <w:left w:val="none" w:sz="0" w:space="0" w:color="auto"/>
                                    <w:bottom w:val="none" w:sz="0" w:space="0" w:color="auto"/>
                                    <w:right w:val="none" w:sz="0" w:space="0" w:color="auto"/>
                                  </w:divBdr>
                                </w:div>
                                <w:div w:id="2100711499">
                                  <w:marLeft w:val="0"/>
                                  <w:marRight w:val="0"/>
                                  <w:marTop w:val="0"/>
                                  <w:marBottom w:val="0"/>
                                  <w:divBdr>
                                    <w:top w:val="none" w:sz="0" w:space="0" w:color="auto"/>
                                    <w:left w:val="none" w:sz="0" w:space="0" w:color="auto"/>
                                    <w:bottom w:val="none" w:sz="0" w:space="0" w:color="auto"/>
                                    <w:right w:val="none" w:sz="0" w:space="0" w:color="auto"/>
                                  </w:divBdr>
                                </w:div>
                                <w:div w:id="2007782319">
                                  <w:marLeft w:val="0"/>
                                  <w:marRight w:val="0"/>
                                  <w:marTop w:val="0"/>
                                  <w:marBottom w:val="0"/>
                                  <w:divBdr>
                                    <w:top w:val="none" w:sz="0" w:space="0" w:color="auto"/>
                                    <w:left w:val="none" w:sz="0" w:space="0" w:color="auto"/>
                                    <w:bottom w:val="none" w:sz="0" w:space="0" w:color="auto"/>
                                    <w:right w:val="none" w:sz="0" w:space="0" w:color="auto"/>
                                  </w:divBdr>
                                </w:div>
                                <w:div w:id="321813731">
                                  <w:marLeft w:val="0"/>
                                  <w:marRight w:val="0"/>
                                  <w:marTop w:val="0"/>
                                  <w:marBottom w:val="0"/>
                                  <w:divBdr>
                                    <w:top w:val="none" w:sz="0" w:space="0" w:color="auto"/>
                                    <w:left w:val="none" w:sz="0" w:space="0" w:color="auto"/>
                                    <w:bottom w:val="none" w:sz="0" w:space="0" w:color="auto"/>
                                    <w:right w:val="none" w:sz="0" w:space="0" w:color="auto"/>
                                  </w:divBdr>
                                </w:div>
                                <w:div w:id="965355317">
                                  <w:marLeft w:val="0"/>
                                  <w:marRight w:val="0"/>
                                  <w:marTop w:val="0"/>
                                  <w:marBottom w:val="0"/>
                                  <w:divBdr>
                                    <w:top w:val="none" w:sz="0" w:space="0" w:color="auto"/>
                                    <w:left w:val="none" w:sz="0" w:space="0" w:color="auto"/>
                                    <w:bottom w:val="none" w:sz="0" w:space="0" w:color="auto"/>
                                    <w:right w:val="none" w:sz="0" w:space="0" w:color="auto"/>
                                  </w:divBdr>
                                </w:div>
                                <w:div w:id="731150981">
                                  <w:marLeft w:val="0"/>
                                  <w:marRight w:val="0"/>
                                  <w:marTop w:val="0"/>
                                  <w:marBottom w:val="0"/>
                                  <w:divBdr>
                                    <w:top w:val="none" w:sz="0" w:space="0" w:color="auto"/>
                                    <w:left w:val="none" w:sz="0" w:space="0" w:color="auto"/>
                                    <w:bottom w:val="none" w:sz="0" w:space="0" w:color="auto"/>
                                    <w:right w:val="none" w:sz="0" w:space="0" w:color="auto"/>
                                  </w:divBdr>
                                </w:div>
                                <w:div w:id="1908875827">
                                  <w:marLeft w:val="0"/>
                                  <w:marRight w:val="0"/>
                                  <w:marTop w:val="0"/>
                                  <w:marBottom w:val="0"/>
                                  <w:divBdr>
                                    <w:top w:val="none" w:sz="0" w:space="0" w:color="auto"/>
                                    <w:left w:val="none" w:sz="0" w:space="0" w:color="auto"/>
                                    <w:bottom w:val="none" w:sz="0" w:space="0" w:color="auto"/>
                                    <w:right w:val="none" w:sz="0" w:space="0" w:color="auto"/>
                                  </w:divBdr>
                                </w:div>
                                <w:div w:id="371343924">
                                  <w:marLeft w:val="0"/>
                                  <w:marRight w:val="0"/>
                                  <w:marTop w:val="0"/>
                                  <w:marBottom w:val="0"/>
                                  <w:divBdr>
                                    <w:top w:val="none" w:sz="0" w:space="0" w:color="auto"/>
                                    <w:left w:val="none" w:sz="0" w:space="0" w:color="auto"/>
                                    <w:bottom w:val="none" w:sz="0" w:space="0" w:color="auto"/>
                                    <w:right w:val="none" w:sz="0" w:space="0" w:color="auto"/>
                                  </w:divBdr>
                                </w:div>
                                <w:div w:id="1406798595">
                                  <w:marLeft w:val="0"/>
                                  <w:marRight w:val="0"/>
                                  <w:marTop w:val="0"/>
                                  <w:marBottom w:val="0"/>
                                  <w:divBdr>
                                    <w:top w:val="none" w:sz="0" w:space="0" w:color="auto"/>
                                    <w:left w:val="none" w:sz="0" w:space="0" w:color="auto"/>
                                    <w:bottom w:val="none" w:sz="0" w:space="0" w:color="auto"/>
                                    <w:right w:val="none" w:sz="0" w:space="0" w:color="auto"/>
                                  </w:divBdr>
                                </w:div>
                                <w:div w:id="2032756456">
                                  <w:marLeft w:val="0"/>
                                  <w:marRight w:val="0"/>
                                  <w:marTop w:val="0"/>
                                  <w:marBottom w:val="0"/>
                                  <w:divBdr>
                                    <w:top w:val="none" w:sz="0" w:space="0" w:color="auto"/>
                                    <w:left w:val="none" w:sz="0" w:space="0" w:color="auto"/>
                                    <w:bottom w:val="none" w:sz="0" w:space="0" w:color="auto"/>
                                    <w:right w:val="none" w:sz="0" w:space="0" w:color="auto"/>
                                  </w:divBdr>
                                </w:div>
                                <w:div w:id="1725594756">
                                  <w:marLeft w:val="0"/>
                                  <w:marRight w:val="0"/>
                                  <w:marTop w:val="0"/>
                                  <w:marBottom w:val="0"/>
                                  <w:divBdr>
                                    <w:top w:val="none" w:sz="0" w:space="0" w:color="auto"/>
                                    <w:left w:val="none" w:sz="0" w:space="0" w:color="auto"/>
                                    <w:bottom w:val="none" w:sz="0" w:space="0" w:color="auto"/>
                                    <w:right w:val="none" w:sz="0" w:space="0" w:color="auto"/>
                                  </w:divBdr>
                                </w:div>
                                <w:div w:id="182936198">
                                  <w:marLeft w:val="0"/>
                                  <w:marRight w:val="0"/>
                                  <w:marTop w:val="150"/>
                                  <w:marBottom w:val="0"/>
                                  <w:divBdr>
                                    <w:top w:val="none" w:sz="0" w:space="0" w:color="auto"/>
                                    <w:left w:val="none" w:sz="0" w:space="0" w:color="auto"/>
                                    <w:bottom w:val="none" w:sz="0" w:space="0" w:color="auto"/>
                                    <w:right w:val="none" w:sz="0" w:space="0" w:color="auto"/>
                                  </w:divBdr>
                                </w:div>
                                <w:div w:id="1535968328">
                                  <w:marLeft w:val="0"/>
                                  <w:marRight w:val="0"/>
                                  <w:marTop w:val="0"/>
                                  <w:marBottom w:val="0"/>
                                  <w:divBdr>
                                    <w:top w:val="none" w:sz="0" w:space="0" w:color="auto"/>
                                    <w:left w:val="none" w:sz="0" w:space="0" w:color="auto"/>
                                    <w:bottom w:val="none" w:sz="0" w:space="0" w:color="auto"/>
                                    <w:right w:val="none" w:sz="0" w:space="0" w:color="auto"/>
                                  </w:divBdr>
                                </w:div>
                                <w:div w:id="1131362187">
                                  <w:marLeft w:val="0"/>
                                  <w:marRight w:val="0"/>
                                  <w:marTop w:val="0"/>
                                  <w:marBottom w:val="0"/>
                                  <w:divBdr>
                                    <w:top w:val="none" w:sz="0" w:space="0" w:color="auto"/>
                                    <w:left w:val="none" w:sz="0" w:space="0" w:color="auto"/>
                                    <w:bottom w:val="none" w:sz="0" w:space="0" w:color="auto"/>
                                    <w:right w:val="none" w:sz="0" w:space="0" w:color="auto"/>
                                  </w:divBdr>
                                </w:div>
                                <w:div w:id="1693259965">
                                  <w:marLeft w:val="0"/>
                                  <w:marRight w:val="0"/>
                                  <w:marTop w:val="0"/>
                                  <w:marBottom w:val="0"/>
                                  <w:divBdr>
                                    <w:top w:val="none" w:sz="0" w:space="0" w:color="auto"/>
                                    <w:left w:val="none" w:sz="0" w:space="0" w:color="auto"/>
                                    <w:bottom w:val="none" w:sz="0" w:space="0" w:color="auto"/>
                                    <w:right w:val="none" w:sz="0" w:space="0" w:color="auto"/>
                                  </w:divBdr>
                                </w:div>
                                <w:div w:id="313485033">
                                  <w:marLeft w:val="0"/>
                                  <w:marRight w:val="0"/>
                                  <w:marTop w:val="150"/>
                                  <w:marBottom w:val="0"/>
                                  <w:divBdr>
                                    <w:top w:val="none" w:sz="0" w:space="0" w:color="auto"/>
                                    <w:left w:val="none" w:sz="0" w:space="0" w:color="auto"/>
                                    <w:bottom w:val="none" w:sz="0" w:space="0" w:color="auto"/>
                                    <w:right w:val="none" w:sz="0" w:space="0" w:color="auto"/>
                                  </w:divBdr>
                                </w:div>
                                <w:div w:id="451562538">
                                  <w:marLeft w:val="0"/>
                                  <w:marRight w:val="0"/>
                                  <w:marTop w:val="0"/>
                                  <w:marBottom w:val="0"/>
                                  <w:divBdr>
                                    <w:top w:val="none" w:sz="0" w:space="0" w:color="auto"/>
                                    <w:left w:val="none" w:sz="0" w:space="0" w:color="auto"/>
                                    <w:bottom w:val="none" w:sz="0" w:space="0" w:color="auto"/>
                                    <w:right w:val="none" w:sz="0" w:space="0" w:color="auto"/>
                                  </w:divBdr>
                                </w:div>
                                <w:div w:id="215167285">
                                  <w:marLeft w:val="0"/>
                                  <w:marRight w:val="0"/>
                                  <w:marTop w:val="0"/>
                                  <w:marBottom w:val="0"/>
                                  <w:divBdr>
                                    <w:top w:val="none" w:sz="0" w:space="0" w:color="auto"/>
                                    <w:left w:val="none" w:sz="0" w:space="0" w:color="auto"/>
                                    <w:bottom w:val="none" w:sz="0" w:space="0" w:color="auto"/>
                                    <w:right w:val="none" w:sz="0" w:space="0" w:color="auto"/>
                                  </w:divBdr>
                                </w:div>
                                <w:div w:id="1576160075">
                                  <w:marLeft w:val="0"/>
                                  <w:marRight w:val="0"/>
                                  <w:marTop w:val="0"/>
                                  <w:marBottom w:val="0"/>
                                  <w:divBdr>
                                    <w:top w:val="none" w:sz="0" w:space="0" w:color="auto"/>
                                    <w:left w:val="none" w:sz="0" w:space="0" w:color="auto"/>
                                    <w:bottom w:val="none" w:sz="0" w:space="0" w:color="auto"/>
                                    <w:right w:val="none" w:sz="0" w:space="0" w:color="auto"/>
                                  </w:divBdr>
                                </w:div>
                                <w:div w:id="658506601">
                                  <w:marLeft w:val="0"/>
                                  <w:marRight w:val="0"/>
                                  <w:marTop w:val="0"/>
                                  <w:marBottom w:val="0"/>
                                  <w:divBdr>
                                    <w:top w:val="none" w:sz="0" w:space="0" w:color="auto"/>
                                    <w:left w:val="none" w:sz="0" w:space="0" w:color="auto"/>
                                    <w:bottom w:val="none" w:sz="0" w:space="0" w:color="auto"/>
                                    <w:right w:val="none" w:sz="0" w:space="0" w:color="auto"/>
                                  </w:divBdr>
                                </w:div>
                                <w:div w:id="1564562456">
                                  <w:marLeft w:val="0"/>
                                  <w:marRight w:val="0"/>
                                  <w:marTop w:val="0"/>
                                  <w:marBottom w:val="0"/>
                                  <w:divBdr>
                                    <w:top w:val="none" w:sz="0" w:space="0" w:color="auto"/>
                                    <w:left w:val="none" w:sz="0" w:space="0" w:color="auto"/>
                                    <w:bottom w:val="none" w:sz="0" w:space="0" w:color="auto"/>
                                    <w:right w:val="none" w:sz="0" w:space="0" w:color="auto"/>
                                  </w:divBdr>
                                </w:div>
                                <w:div w:id="1167745580">
                                  <w:marLeft w:val="0"/>
                                  <w:marRight w:val="0"/>
                                  <w:marTop w:val="0"/>
                                  <w:marBottom w:val="0"/>
                                  <w:divBdr>
                                    <w:top w:val="none" w:sz="0" w:space="0" w:color="auto"/>
                                    <w:left w:val="none" w:sz="0" w:space="0" w:color="auto"/>
                                    <w:bottom w:val="none" w:sz="0" w:space="0" w:color="auto"/>
                                    <w:right w:val="none" w:sz="0" w:space="0" w:color="auto"/>
                                  </w:divBdr>
                                </w:div>
                                <w:div w:id="1582523664">
                                  <w:marLeft w:val="0"/>
                                  <w:marRight w:val="0"/>
                                  <w:marTop w:val="0"/>
                                  <w:marBottom w:val="0"/>
                                  <w:divBdr>
                                    <w:top w:val="none" w:sz="0" w:space="0" w:color="auto"/>
                                    <w:left w:val="none" w:sz="0" w:space="0" w:color="auto"/>
                                    <w:bottom w:val="none" w:sz="0" w:space="0" w:color="auto"/>
                                    <w:right w:val="none" w:sz="0" w:space="0" w:color="auto"/>
                                  </w:divBdr>
                                </w:div>
                                <w:div w:id="1281231403">
                                  <w:marLeft w:val="0"/>
                                  <w:marRight w:val="0"/>
                                  <w:marTop w:val="0"/>
                                  <w:marBottom w:val="0"/>
                                  <w:divBdr>
                                    <w:top w:val="none" w:sz="0" w:space="0" w:color="auto"/>
                                    <w:left w:val="none" w:sz="0" w:space="0" w:color="auto"/>
                                    <w:bottom w:val="none" w:sz="0" w:space="0" w:color="auto"/>
                                    <w:right w:val="none" w:sz="0" w:space="0" w:color="auto"/>
                                  </w:divBdr>
                                  <w:divsChild>
                                    <w:div w:id="771819916">
                                      <w:marLeft w:val="0"/>
                                      <w:marRight w:val="0"/>
                                      <w:marTop w:val="240"/>
                                      <w:marBottom w:val="240"/>
                                      <w:divBdr>
                                        <w:top w:val="none" w:sz="0" w:space="0" w:color="auto"/>
                                        <w:left w:val="none" w:sz="0" w:space="0" w:color="auto"/>
                                        <w:bottom w:val="none" w:sz="0" w:space="0" w:color="auto"/>
                                        <w:right w:val="none" w:sz="0" w:space="0" w:color="auto"/>
                                      </w:divBdr>
                                    </w:div>
                                    <w:div w:id="1335643507">
                                      <w:marLeft w:val="0"/>
                                      <w:marRight w:val="0"/>
                                      <w:marTop w:val="240"/>
                                      <w:marBottom w:val="240"/>
                                      <w:divBdr>
                                        <w:top w:val="none" w:sz="0" w:space="0" w:color="auto"/>
                                        <w:left w:val="none" w:sz="0" w:space="0" w:color="auto"/>
                                        <w:bottom w:val="none" w:sz="0" w:space="0" w:color="auto"/>
                                        <w:right w:val="none" w:sz="0" w:space="0" w:color="auto"/>
                                      </w:divBdr>
                                    </w:div>
                                  </w:divsChild>
                                </w:div>
                                <w:div w:id="285357533">
                                  <w:marLeft w:val="0"/>
                                  <w:marRight w:val="0"/>
                                  <w:marTop w:val="0"/>
                                  <w:marBottom w:val="0"/>
                                  <w:divBdr>
                                    <w:top w:val="none" w:sz="0" w:space="0" w:color="auto"/>
                                    <w:left w:val="none" w:sz="0" w:space="0" w:color="auto"/>
                                    <w:bottom w:val="none" w:sz="0" w:space="0" w:color="auto"/>
                                    <w:right w:val="none" w:sz="0" w:space="0" w:color="auto"/>
                                  </w:divBdr>
                                </w:div>
                                <w:div w:id="38668347">
                                  <w:marLeft w:val="0"/>
                                  <w:marRight w:val="0"/>
                                  <w:marTop w:val="240"/>
                                  <w:marBottom w:val="240"/>
                                  <w:divBdr>
                                    <w:top w:val="none" w:sz="0" w:space="0" w:color="auto"/>
                                    <w:left w:val="none" w:sz="0" w:space="0" w:color="auto"/>
                                    <w:bottom w:val="none" w:sz="0" w:space="0" w:color="auto"/>
                                    <w:right w:val="none" w:sz="0" w:space="0" w:color="auto"/>
                                  </w:divBdr>
                                </w:div>
                                <w:div w:id="9256562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34/200.89" TargetMode="External"/><Relationship Id="rId13" Type="http://schemas.openxmlformats.org/officeDocument/2006/relationships/hyperlink" Target="http://frwebgate.access.gpo.gov/cgi-bin/getpage.cgi?dbname=2008_register&amp;position=all&amp;page=44124" TargetMode="External"/><Relationship Id="rId3" Type="http://schemas.openxmlformats.org/officeDocument/2006/relationships/settings" Target="settings.xml"/><Relationship Id="rId7" Type="http://schemas.openxmlformats.org/officeDocument/2006/relationships/hyperlink" Target="https://www.law.cornell.edu/cfr/text/34/200.89" TargetMode="External"/><Relationship Id="rId12" Type="http://schemas.openxmlformats.org/officeDocument/2006/relationships/hyperlink" Target="http://frwebgate.access.gpo.gov/cgi-bin/getpage.cgi?dbname=2008_register&amp;position=all&amp;page=441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18/1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aw.cornell.edu/uscode/text/20/6391-639" TargetMode="External"/><Relationship Id="rId4" Type="http://schemas.openxmlformats.org/officeDocument/2006/relationships/webSettings" Target="webSettings.xml"/><Relationship Id="rId9" Type="http://schemas.openxmlformats.org/officeDocument/2006/relationships/hyperlink" Target="https://www.law.cornell.edu/cfr/text/34/200.81" TargetMode="External"/><Relationship Id="rId14" Type="http://schemas.openxmlformats.org/officeDocument/2006/relationships/hyperlink" Target="https://www.law.cornell.edu/cfr/text/34/20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Pedro</cp:lastModifiedBy>
  <cp:revision>1</cp:revision>
  <dcterms:created xsi:type="dcterms:W3CDTF">2016-02-09T22:07:00Z</dcterms:created>
  <dcterms:modified xsi:type="dcterms:W3CDTF">2016-02-09T22:08:00Z</dcterms:modified>
</cp:coreProperties>
</file>